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52581" w14:textId="77777777" w:rsidR="00F5044B" w:rsidRDefault="00F5044B" w:rsidP="00F5044B">
      <w:pPr>
        <w:jc w:val="both"/>
        <w:rPr>
          <w:b/>
          <w:sz w:val="22"/>
          <w:szCs w:val="22"/>
        </w:rPr>
      </w:pPr>
    </w:p>
    <w:p w14:paraId="77723335" w14:textId="77777777" w:rsidR="00315876" w:rsidRDefault="00315876" w:rsidP="00F5044B">
      <w:pPr>
        <w:jc w:val="center"/>
        <w:rPr>
          <w:b/>
          <w:sz w:val="22"/>
          <w:szCs w:val="22"/>
        </w:rPr>
      </w:pPr>
    </w:p>
    <w:p w14:paraId="5C2F0FD6" w14:textId="77777777" w:rsidR="004873B3" w:rsidRPr="00CD053A" w:rsidRDefault="004873B3" w:rsidP="00A51C4B">
      <w:pPr>
        <w:jc w:val="center"/>
        <w:rPr>
          <w:rFonts w:ascii="Arial" w:hAnsi="Arial" w:cs="Arial"/>
          <w:b/>
          <w:kern w:val="3"/>
          <w:sz w:val="22"/>
          <w:szCs w:val="22"/>
          <w:lang w:eastAsia="zh-CN"/>
        </w:rPr>
      </w:pPr>
    </w:p>
    <w:p w14:paraId="57EBDFD2" w14:textId="5E471E19" w:rsidR="00A51C4B" w:rsidRPr="00CD053A" w:rsidRDefault="00F5044B" w:rsidP="00A51C4B">
      <w:pPr>
        <w:jc w:val="center"/>
        <w:rPr>
          <w:rFonts w:ascii="Arial" w:hAnsi="Arial" w:cs="Arial"/>
          <w:b/>
          <w:kern w:val="3"/>
          <w:sz w:val="22"/>
          <w:szCs w:val="22"/>
          <w:lang w:eastAsia="zh-CN"/>
        </w:rPr>
      </w:pPr>
      <w:r w:rsidRPr="00CD053A">
        <w:rPr>
          <w:rFonts w:ascii="Arial" w:hAnsi="Arial" w:cs="Arial"/>
          <w:b/>
          <w:kern w:val="3"/>
          <w:sz w:val="22"/>
          <w:szCs w:val="22"/>
          <w:lang w:eastAsia="zh-CN"/>
        </w:rPr>
        <w:t xml:space="preserve">ΨΗΦΙΣΜΑ ΤΗΣ </w:t>
      </w:r>
      <w:r w:rsidR="004873B3" w:rsidRPr="00CD053A">
        <w:rPr>
          <w:rFonts w:ascii="Arial" w:hAnsi="Arial" w:cs="Arial"/>
          <w:b/>
          <w:kern w:val="3"/>
          <w:sz w:val="22"/>
          <w:szCs w:val="22"/>
          <w:lang w:eastAsia="zh-CN"/>
        </w:rPr>
        <w:t>0</w:t>
      </w:r>
      <w:r w:rsidR="008C1FE4" w:rsidRPr="00CD053A">
        <w:rPr>
          <w:rFonts w:ascii="Arial" w:hAnsi="Arial" w:cs="Arial"/>
          <w:b/>
          <w:kern w:val="3"/>
          <w:sz w:val="22"/>
          <w:szCs w:val="22"/>
          <w:lang w:eastAsia="zh-CN"/>
        </w:rPr>
        <w:t>3</w:t>
      </w:r>
      <w:r w:rsidRPr="00CD053A">
        <w:rPr>
          <w:rFonts w:ascii="Arial" w:hAnsi="Arial" w:cs="Arial"/>
          <w:b/>
          <w:kern w:val="3"/>
          <w:sz w:val="22"/>
          <w:szCs w:val="22"/>
          <w:lang w:eastAsia="zh-CN"/>
        </w:rPr>
        <w:t>-</w:t>
      </w:r>
      <w:r w:rsidR="007C0E78" w:rsidRPr="00CD053A">
        <w:rPr>
          <w:rFonts w:ascii="Arial" w:hAnsi="Arial" w:cs="Arial"/>
          <w:b/>
          <w:kern w:val="3"/>
          <w:sz w:val="22"/>
          <w:szCs w:val="22"/>
          <w:lang w:eastAsia="zh-CN"/>
        </w:rPr>
        <w:t>0</w:t>
      </w:r>
      <w:r w:rsidR="008C1FE4" w:rsidRPr="00CD053A">
        <w:rPr>
          <w:rFonts w:ascii="Arial" w:hAnsi="Arial" w:cs="Arial"/>
          <w:b/>
          <w:kern w:val="3"/>
          <w:sz w:val="22"/>
          <w:szCs w:val="22"/>
          <w:lang w:eastAsia="zh-CN"/>
        </w:rPr>
        <w:t>2</w:t>
      </w:r>
      <w:r w:rsidRPr="00CD053A">
        <w:rPr>
          <w:rFonts w:ascii="Arial" w:hAnsi="Arial" w:cs="Arial"/>
          <w:b/>
          <w:kern w:val="3"/>
          <w:sz w:val="22"/>
          <w:szCs w:val="22"/>
          <w:lang w:eastAsia="zh-CN"/>
        </w:rPr>
        <w:t>-20</w:t>
      </w:r>
      <w:r w:rsidR="007C0E78" w:rsidRPr="00CD053A">
        <w:rPr>
          <w:rFonts w:ascii="Arial" w:hAnsi="Arial" w:cs="Arial"/>
          <w:b/>
          <w:kern w:val="3"/>
          <w:sz w:val="22"/>
          <w:szCs w:val="22"/>
          <w:lang w:eastAsia="zh-CN"/>
        </w:rPr>
        <w:t>2</w:t>
      </w:r>
      <w:r w:rsidR="008C1FE4" w:rsidRPr="00CD053A">
        <w:rPr>
          <w:rFonts w:ascii="Arial" w:hAnsi="Arial" w:cs="Arial"/>
          <w:b/>
          <w:kern w:val="3"/>
          <w:sz w:val="22"/>
          <w:szCs w:val="22"/>
          <w:lang w:eastAsia="zh-CN"/>
        </w:rPr>
        <w:t>5</w:t>
      </w:r>
      <w:r w:rsidR="007C0E78" w:rsidRPr="00CD053A">
        <w:rPr>
          <w:rFonts w:ascii="Arial" w:hAnsi="Arial" w:cs="Arial"/>
          <w:b/>
          <w:kern w:val="3"/>
          <w:sz w:val="22"/>
          <w:szCs w:val="22"/>
          <w:lang w:eastAsia="zh-CN"/>
        </w:rPr>
        <w:t xml:space="preserve"> </w:t>
      </w:r>
      <w:r w:rsidRPr="00CD053A">
        <w:rPr>
          <w:rFonts w:ascii="Arial" w:hAnsi="Arial" w:cs="Arial"/>
          <w:b/>
          <w:kern w:val="3"/>
          <w:sz w:val="22"/>
          <w:szCs w:val="22"/>
          <w:lang w:eastAsia="zh-CN"/>
        </w:rPr>
        <w:t xml:space="preserve"> </w:t>
      </w:r>
      <w:r w:rsidR="00B67B94" w:rsidRPr="00CD053A">
        <w:rPr>
          <w:rFonts w:ascii="Arial" w:hAnsi="Arial" w:cs="Arial"/>
          <w:b/>
          <w:kern w:val="3"/>
          <w:sz w:val="22"/>
          <w:szCs w:val="22"/>
          <w:lang w:eastAsia="zh-CN"/>
        </w:rPr>
        <w:t xml:space="preserve">ΣΥΝΕΔΡΙΑΣΗΣ ΤΟΥ ΔΗΜΟΤΙΚΟΥ ΣΥΜΒΟΥΛΙΟΥ ΤΟΥ ΔΗΜΟΥ ΘΕΣΣΑΛΟΝΙΚΗΣ </w:t>
      </w:r>
    </w:p>
    <w:p w14:paraId="1D373615" w14:textId="6A227814" w:rsidR="00CD053A" w:rsidRDefault="00CD053A" w:rsidP="00F5044B">
      <w:pPr>
        <w:jc w:val="center"/>
        <w:rPr>
          <w:rFonts w:ascii="Arial" w:hAnsi="Arial" w:cs="Arial"/>
          <w:b/>
          <w:kern w:val="3"/>
          <w:sz w:val="22"/>
          <w:szCs w:val="22"/>
          <w:lang w:eastAsia="zh-CN"/>
        </w:rPr>
      </w:pPr>
      <w:r>
        <w:rPr>
          <w:rFonts w:ascii="Arial" w:hAnsi="Arial" w:cs="Arial"/>
          <w:b/>
          <w:kern w:val="3"/>
          <w:sz w:val="22"/>
          <w:szCs w:val="22"/>
          <w:lang w:eastAsia="zh-CN"/>
        </w:rPr>
        <w:t>ΣΧΕΤΙΚΑ ΜΕ ΤΟ ΔΗΜΟΣΙΟ ΧΑΡΑΚΤΗΡΑ ΤΟΥ ΝΕΡΟΥ</w:t>
      </w:r>
    </w:p>
    <w:p w14:paraId="476576CD" w14:textId="77777777" w:rsidR="00CD053A" w:rsidRDefault="00CD053A" w:rsidP="00F5044B">
      <w:pPr>
        <w:jc w:val="center"/>
        <w:rPr>
          <w:rFonts w:ascii="Arial" w:hAnsi="Arial" w:cs="Arial"/>
          <w:b/>
          <w:kern w:val="3"/>
          <w:sz w:val="22"/>
          <w:szCs w:val="22"/>
          <w:lang w:eastAsia="zh-CN"/>
        </w:rPr>
      </w:pPr>
    </w:p>
    <w:p w14:paraId="041F4166" w14:textId="3EC4C144" w:rsidR="007C0E78" w:rsidRPr="008C1FE4" w:rsidRDefault="00E80FF1" w:rsidP="00F5044B">
      <w:pPr>
        <w:jc w:val="center"/>
        <w:rPr>
          <w:rFonts w:ascii="Arial" w:hAnsi="Arial" w:cs="Arial"/>
          <w:b/>
          <w:kern w:val="3"/>
          <w:sz w:val="22"/>
          <w:szCs w:val="22"/>
          <w:lang w:eastAsia="zh-CN"/>
        </w:rPr>
      </w:pPr>
      <w:r w:rsidRPr="008C1FE4">
        <w:rPr>
          <w:rFonts w:ascii="Arial" w:hAnsi="Arial" w:cs="Arial"/>
          <w:b/>
          <w:kern w:val="3"/>
          <w:sz w:val="22"/>
          <w:szCs w:val="22"/>
          <w:lang w:eastAsia="zh-CN"/>
        </w:rPr>
        <w:t>Το Δημοτικό Συμβούλιο εξέδωσε το παρακάτω ψήφισμα</w:t>
      </w:r>
    </w:p>
    <w:p w14:paraId="34AF64BA" w14:textId="47B7FF66" w:rsidR="00456F22" w:rsidRPr="008C1FE4" w:rsidRDefault="00456F22" w:rsidP="00F5044B">
      <w:pPr>
        <w:jc w:val="center"/>
        <w:rPr>
          <w:rFonts w:ascii="Arial" w:hAnsi="Arial" w:cs="Arial"/>
          <w:b/>
          <w:kern w:val="3"/>
          <w:sz w:val="22"/>
          <w:szCs w:val="22"/>
          <w:lang w:eastAsia="zh-CN"/>
        </w:rPr>
      </w:pPr>
    </w:p>
    <w:p w14:paraId="51A3D59F"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«Το Δημοτικό Συμβούλιο του Δήμου Θεσσαλονίκης στηρίζει την αίτηση ακύρωσης στο Συμβούλιο της Επικρατείας, για να ακυρωθεί Κοινή Υπουργική Απόφαση για την τιμολόγηση του νερού, που κατέθεσαν εργαζόμενοι σε δημόσιες και δημοτικές επιχειρήσεις αρμόδιες για τη διαχείριση του νερού, περιβαλλοντικές οργανώσεις και πολίτες, με σκοπό να ακυρωθεί ως αντισυνταγματική και αντίθετη με την Ευρωπαϊκή νομοθεσία η 103755 Κοινή Υπουργική Απόφαση (ΦΕΚ Β 5438/27.09.2024) για τον “καθορισμό των γενικών κανόνων κοστολόγησης και τιμολόγησης υπηρεσιών ύδατος. Μέτρα βελτίωσης, διαδικασίες και μέθοδος ανάκτησης κόστους των υπηρεσιών ύδατος στις διάφορες χρήσεις του.”</w:t>
      </w:r>
    </w:p>
    <w:p w14:paraId="1547040A" w14:textId="77777777" w:rsidR="0075127D" w:rsidRDefault="0075127D" w:rsidP="0075127D">
      <w:pPr>
        <w:pStyle w:val="Standard"/>
        <w:tabs>
          <w:tab w:val="left" w:pos="3510"/>
          <w:tab w:val="left" w:pos="4477"/>
          <w:tab w:val="left" w:pos="8520"/>
        </w:tabs>
        <w:jc w:val="both"/>
        <w:rPr>
          <w:rFonts w:ascii="Arial" w:hAnsi="Arial" w:cs="Arial"/>
          <w:sz w:val="22"/>
          <w:szCs w:val="22"/>
        </w:rPr>
      </w:pPr>
    </w:p>
    <w:p w14:paraId="6072ADDA"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xml:space="preserve">Το </w:t>
      </w:r>
      <w:proofErr w:type="spellStart"/>
      <w:r>
        <w:rPr>
          <w:rFonts w:ascii="Arial" w:hAnsi="Arial" w:cs="Arial"/>
          <w:sz w:val="22"/>
          <w:szCs w:val="22"/>
        </w:rPr>
        <w:t>ΣτΕ</w:t>
      </w:r>
      <w:proofErr w:type="spellEnd"/>
      <w:r>
        <w:rPr>
          <w:rFonts w:ascii="Arial" w:hAnsi="Arial" w:cs="Arial"/>
          <w:sz w:val="22"/>
          <w:szCs w:val="22"/>
        </w:rPr>
        <w:t xml:space="preserve">, για δεύτερη φορά στην ιστορία του θα εξετάσει το ζήτημα κοστολόγησης του  νερού. Την προηγούμενη φορά η μείζονα σύνθεση του Δ’ Τμήματος του </w:t>
      </w:r>
      <w:proofErr w:type="spellStart"/>
      <w:r>
        <w:rPr>
          <w:rFonts w:ascii="Arial" w:hAnsi="Arial" w:cs="Arial"/>
          <w:sz w:val="22"/>
          <w:szCs w:val="22"/>
        </w:rPr>
        <w:t>ΣτΕ</w:t>
      </w:r>
      <w:proofErr w:type="spellEnd"/>
      <w:r>
        <w:rPr>
          <w:rFonts w:ascii="Arial" w:hAnsi="Arial" w:cs="Arial"/>
          <w:sz w:val="22"/>
          <w:szCs w:val="22"/>
        </w:rPr>
        <w:t xml:space="preserve">, με την 2519/2022 ομόφωνη απόφασή του ακύρωσε, στο σύνολό της την ΚΥΑ του 2017 περί κανόνων τιμολόγησης του νερού (υπ’ </w:t>
      </w:r>
      <w:proofErr w:type="spellStart"/>
      <w:r>
        <w:rPr>
          <w:rFonts w:ascii="Arial" w:hAnsi="Arial" w:cs="Arial"/>
          <w:sz w:val="22"/>
          <w:szCs w:val="22"/>
        </w:rPr>
        <w:t>αριθμ</w:t>
      </w:r>
      <w:proofErr w:type="spellEnd"/>
      <w:r>
        <w:rPr>
          <w:rFonts w:ascii="Arial" w:hAnsi="Arial" w:cs="Arial"/>
          <w:sz w:val="22"/>
          <w:szCs w:val="22"/>
        </w:rPr>
        <w:t>. 35275/19.05.2017 απόφαση της διυπουργικής Εθνικής Επιτροπής Υδάτων).</w:t>
      </w:r>
    </w:p>
    <w:p w14:paraId="2A846335"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Στη νέα ΚΥΑ, υιοθετείται μια αμιγώς λογιστικού χαρακτήρα τιμολογιακή πολιτική, που αφορά αδιακρίτως όλη τη χώρα, ανεξαρτήτως των ιδιαίτερων χαρακτηριστικών της κάθε λεκάνης απορροής ποταμού με συνέπεια να παραβιάζονται συνταγματικές διατάξεις, να αποδυναμώνεται ο συνταγματικά επιβεβλημένος δημόσιος και δημοτικός έλεγχος τιμολόγησης  και να προκαλείται αβεβαιότητα ως προς τη συνέχιση της παροχής νερού υπό όρους δημόσιας υπηρεσίας, δηλαδή με ασφάλεια, καθολικότητα, υψηλή ποιότητα και προσιτή τιμή.</w:t>
      </w:r>
    </w:p>
    <w:p w14:paraId="33DEA805"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xml:space="preserve">Η κυβέρνηση με την νέα ΚΥΑ, εκτός του ότι επαναφέρει ρυθμίσεις που είχαν κριθεί με την προηγούμενη προσφυγή, επιχειρεί να στήσει έναν ανεξέλεγκτο, από το δημόσιο, μηχανισμό κοστολόγησης-τιμολόγησης των νερών όλης της Ελλάδας και όλων των χρήσεων (ύδρευση-άρδευση-αποχέτευση). Μια τέτοια προοπτική προοιωνίζει ένα </w:t>
      </w:r>
      <w:proofErr w:type="spellStart"/>
      <w:r>
        <w:rPr>
          <w:rFonts w:ascii="Arial" w:hAnsi="Arial" w:cs="Arial"/>
          <w:sz w:val="22"/>
          <w:szCs w:val="22"/>
        </w:rPr>
        <w:t>δυστοπικό</w:t>
      </w:r>
      <w:proofErr w:type="spellEnd"/>
      <w:r>
        <w:rPr>
          <w:rFonts w:ascii="Arial" w:hAnsi="Arial" w:cs="Arial"/>
          <w:sz w:val="22"/>
          <w:szCs w:val="22"/>
        </w:rPr>
        <w:t xml:space="preserve"> μέλλον για το ζωτικό αγαθό του νερού, αντίστοιχο με αυτό του ρεύματος.</w:t>
      </w:r>
    </w:p>
    <w:p w14:paraId="7FE09164"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xml:space="preserve">Παρά το σύνολο των αποφάσεων του </w:t>
      </w:r>
      <w:proofErr w:type="spellStart"/>
      <w:r>
        <w:rPr>
          <w:rFonts w:ascii="Arial" w:hAnsi="Arial" w:cs="Arial"/>
          <w:sz w:val="22"/>
          <w:szCs w:val="22"/>
        </w:rPr>
        <w:t>ΣτΕ</w:t>
      </w:r>
      <w:proofErr w:type="spellEnd"/>
      <w:r>
        <w:rPr>
          <w:rFonts w:ascii="Arial" w:hAnsi="Arial" w:cs="Arial"/>
          <w:sz w:val="22"/>
          <w:szCs w:val="22"/>
        </w:rPr>
        <w:t xml:space="preserve"> για τον χαρακτήρα του νερού “ως φυσικού αγαθού απαραίτητου για την επιβίωση του ανθρώπου” και των υπηρεσιών ύδρευσης και αποχέτευσης ως “δημόσιας υπηρεσίας ζωτικής σημασίας” (βλ. </w:t>
      </w:r>
      <w:proofErr w:type="spellStart"/>
      <w:r>
        <w:rPr>
          <w:rFonts w:ascii="Arial" w:hAnsi="Arial" w:cs="Arial"/>
          <w:sz w:val="22"/>
          <w:szCs w:val="22"/>
        </w:rPr>
        <w:t>Ολ</w:t>
      </w:r>
      <w:proofErr w:type="spellEnd"/>
      <w:r>
        <w:rPr>
          <w:rFonts w:ascii="Arial" w:hAnsi="Arial" w:cs="Arial"/>
          <w:sz w:val="22"/>
          <w:szCs w:val="22"/>
        </w:rPr>
        <w:t xml:space="preserve"> </w:t>
      </w:r>
      <w:proofErr w:type="spellStart"/>
      <w:r>
        <w:rPr>
          <w:rFonts w:ascii="Arial" w:hAnsi="Arial" w:cs="Arial"/>
          <w:sz w:val="22"/>
          <w:szCs w:val="22"/>
        </w:rPr>
        <w:t>ΣτΕ</w:t>
      </w:r>
      <w:proofErr w:type="spellEnd"/>
      <w:r>
        <w:rPr>
          <w:rFonts w:ascii="Arial" w:hAnsi="Arial" w:cs="Arial"/>
          <w:sz w:val="22"/>
          <w:szCs w:val="22"/>
        </w:rPr>
        <w:t xml:space="preserve"> 1906/2014, </w:t>
      </w:r>
      <w:proofErr w:type="spellStart"/>
      <w:r>
        <w:rPr>
          <w:rFonts w:ascii="Arial" w:hAnsi="Arial" w:cs="Arial"/>
          <w:sz w:val="22"/>
          <w:szCs w:val="22"/>
        </w:rPr>
        <w:t>Ολ</w:t>
      </w:r>
      <w:proofErr w:type="spellEnd"/>
      <w:r>
        <w:rPr>
          <w:rFonts w:ascii="Arial" w:hAnsi="Arial" w:cs="Arial"/>
          <w:sz w:val="22"/>
          <w:szCs w:val="22"/>
        </w:rPr>
        <w:t xml:space="preserve"> </w:t>
      </w:r>
      <w:proofErr w:type="spellStart"/>
      <w:r>
        <w:rPr>
          <w:rFonts w:ascii="Arial" w:hAnsi="Arial" w:cs="Arial"/>
          <w:sz w:val="22"/>
          <w:szCs w:val="22"/>
        </w:rPr>
        <w:t>ΣτΕ</w:t>
      </w:r>
      <w:proofErr w:type="spellEnd"/>
      <w:r>
        <w:rPr>
          <w:rFonts w:ascii="Arial" w:hAnsi="Arial" w:cs="Arial"/>
          <w:sz w:val="22"/>
          <w:szCs w:val="22"/>
        </w:rPr>
        <w:t xml:space="preserve"> 190, 191/2022, </w:t>
      </w:r>
      <w:proofErr w:type="spellStart"/>
      <w:r>
        <w:rPr>
          <w:rFonts w:ascii="Arial" w:hAnsi="Arial" w:cs="Arial"/>
          <w:sz w:val="22"/>
          <w:szCs w:val="22"/>
        </w:rPr>
        <w:t>ΣτΕ</w:t>
      </w:r>
      <w:proofErr w:type="spellEnd"/>
      <w:r>
        <w:rPr>
          <w:rFonts w:ascii="Arial" w:hAnsi="Arial" w:cs="Arial"/>
          <w:sz w:val="22"/>
          <w:szCs w:val="22"/>
        </w:rPr>
        <w:t xml:space="preserve"> </w:t>
      </w:r>
      <w:proofErr w:type="spellStart"/>
      <w:r>
        <w:rPr>
          <w:rFonts w:ascii="Arial" w:hAnsi="Arial" w:cs="Arial"/>
          <w:sz w:val="22"/>
          <w:szCs w:val="22"/>
        </w:rPr>
        <w:t>επτ</w:t>
      </w:r>
      <w:proofErr w:type="spellEnd"/>
      <w:r>
        <w:rPr>
          <w:rFonts w:ascii="Arial" w:hAnsi="Arial" w:cs="Arial"/>
          <w:sz w:val="22"/>
          <w:szCs w:val="22"/>
        </w:rPr>
        <w:t xml:space="preserve">. 1886/2022 και </w:t>
      </w:r>
      <w:proofErr w:type="spellStart"/>
      <w:r>
        <w:rPr>
          <w:rFonts w:ascii="Arial" w:hAnsi="Arial" w:cs="Arial"/>
          <w:sz w:val="22"/>
          <w:szCs w:val="22"/>
        </w:rPr>
        <w:t>ΣτΕ</w:t>
      </w:r>
      <w:proofErr w:type="spellEnd"/>
      <w:r>
        <w:rPr>
          <w:rFonts w:ascii="Arial" w:hAnsi="Arial" w:cs="Arial"/>
          <w:sz w:val="22"/>
          <w:szCs w:val="22"/>
        </w:rPr>
        <w:t xml:space="preserve"> </w:t>
      </w:r>
      <w:proofErr w:type="spellStart"/>
      <w:r>
        <w:rPr>
          <w:rFonts w:ascii="Arial" w:hAnsi="Arial" w:cs="Arial"/>
          <w:sz w:val="22"/>
          <w:szCs w:val="22"/>
        </w:rPr>
        <w:t>επτ</w:t>
      </w:r>
      <w:proofErr w:type="spellEnd"/>
      <w:r>
        <w:rPr>
          <w:rFonts w:ascii="Arial" w:hAnsi="Arial" w:cs="Arial"/>
          <w:sz w:val="22"/>
          <w:szCs w:val="22"/>
        </w:rPr>
        <w:t>. 2519/2022), η νέα ΚΥΑ, όπως και ο νόμος για την υπαγωγή στη ΡΑΕ των φορέων ύδρευσης και αποχέτευσης, κινούνται προς την αντίθετη κατεύθυνση δηλαδή αντιμετωπίζουν το νερό ως ένα εμπορικό προϊόν.</w:t>
      </w:r>
    </w:p>
    <w:p w14:paraId="6536B7C4"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Δηλώνουμε ρητά ότι το νερό είναι ζωτικό ανθρώπινο δικαίωμα! Δεν είναι εμπόρευμα. Δεν κοστολογείται με όρους αγοράς.</w:t>
      </w:r>
    </w:p>
    <w:p w14:paraId="7F34BF94"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Ζητούμε να εξαιρούνται του αλγόριθμου τιμολόγησης του νερού, οι επενδυτικές δαπάνες και οι αποσβέσεις τους, σε δημοτικό και διαδημοτικό επίπεδο, προκειμένου το κόστος τους να μην επιβαρύνει τους πολίτες.</w:t>
      </w:r>
    </w:p>
    <w:p w14:paraId="25A687C1" w14:textId="77777777" w:rsidR="0075127D" w:rsidRDefault="0075127D" w:rsidP="0075127D">
      <w:pPr>
        <w:pStyle w:val="Standard"/>
        <w:tabs>
          <w:tab w:val="left" w:pos="3510"/>
          <w:tab w:val="left" w:pos="4477"/>
          <w:tab w:val="left" w:pos="8520"/>
        </w:tabs>
        <w:jc w:val="both"/>
        <w:rPr>
          <w:rFonts w:ascii="Arial" w:hAnsi="Arial" w:cs="Arial"/>
          <w:sz w:val="22"/>
          <w:szCs w:val="22"/>
        </w:rPr>
      </w:pPr>
      <w:r>
        <w:rPr>
          <w:rFonts w:ascii="Arial" w:hAnsi="Arial" w:cs="Arial"/>
          <w:sz w:val="22"/>
          <w:szCs w:val="22"/>
        </w:rPr>
        <w:t xml:space="preserve">– Διεκδικούμε να ακυρωθεί η νέα Κοινή Υπουργική Απόφαση (ΚΥΑ) για την τιμολόγηση του νερού και να </w:t>
      </w:r>
      <w:proofErr w:type="spellStart"/>
      <w:r>
        <w:rPr>
          <w:rFonts w:ascii="Arial" w:hAnsi="Arial" w:cs="Arial"/>
          <w:sz w:val="22"/>
          <w:szCs w:val="22"/>
        </w:rPr>
        <w:t>απεντα</w:t>
      </w:r>
      <w:bookmarkStart w:id="0" w:name="_GoBack"/>
      <w:bookmarkEnd w:id="0"/>
      <w:r>
        <w:rPr>
          <w:rFonts w:ascii="Arial" w:hAnsi="Arial" w:cs="Arial"/>
          <w:sz w:val="22"/>
          <w:szCs w:val="22"/>
        </w:rPr>
        <w:t>χθούν</w:t>
      </w:r>
      <w:proofErr w:type="spellEnd"/>
      <w:r>
        <w:rPr>
          <w:rFonts w:ascii="Arial" w:hAnsi="Arial" w:cs="Arial"/>
          <w:sz w:val="22"/>
          <w:szCs w:val="22"/>
        </w:rPr>
        <w:t xml:space="preserve"> οι υπηρεσίες ύδατος από τη ΡΑΑΕΥ.</w:t>
      </w:r>
    </w:p>
    <w:p w14:paraId="00B2BBAD" w14:textId="77777777" w:rsidR="0075127D" w:rsidRDefault="0075127D" w:rsidP="0075127D">
      <w:pPr>
        <w:pStyle w:val="Standard"/>
        <w:tabs>
          <w:tab w:val="left" w:pos="3510"/>
          <w:tab w:val="left" w:pos="4477"/>
          <w:tab w:val="left" w:pos="8520"/>
        </w:tabs>
        <w:jc w:val="both"/>
        <w:rPr>
          <w:rFonts w:ascii="Arial" w:hAnsi="Arial" w:cs="Arial"/>
          <w:b/>
          <w:sz w:val="22"/>
          <w:szCs w:val="22"/>
        </w:rPr>
      </w:pPr>
      <w:r>
        <w:rPr>
          <w:rFonts w:ascii="Arial" w:hAnsi="Arial" w:cs="Arial"/>
          <w:sz w:val="22"/>
          <w:szCs w:val="22"/>
        </w:rPr>
        <w:t xml:space="preserve">– Στηρίζουμε την αίτηση ακύρωσης της ΚΥΑ που έχει κατατεθεί στο </w:t>
      </w:r>
      <w:proofErr w:type="spellStart"/>
      <w:r>
        <w:rPr>
          <w:rFonts w:ascii="Arial" w:hAnsi="Arial" w:cs="Arial"/>
          <w:sz w:val="22"/>
          <w:szCs w:val="22"/>
        </w:rPr>
        <w:t>ΣτΕ</w:t>
      </w:r>
      <w:proofErr w:type="spellEnd"/>
      <w:r>
        <w:rPr>
          <w:rFonts w:ascii="Arial" w:hAnsi="Arial" w:cs="Arial"/>
          <w:sz w:val="22"/>
          <w:szCs w:val="22"/>
        </w:rPr>
        <w:t>.»</w:t>
      </w:r>
    </w:p>
    <w:p w14:paraId="78CDBEFF" w14:textId="08253FC4" w:rsidR="00456F22" w:rsidRPr="008C1FE4" w:rsidRDefault="00456F22" w:rsidP="00F5044B">
      <w:pPr>
        <w:jc w:val="center"/>
        <w:rPr>
          <w:rFonts w:ascii="Arial" w:hAnsi="Arial" w:cs="Arial"/>
          <w:kern w:val="3"/>
          <w:sz w:val="22"/>
          <w:szCs w:val="22"/>
          <w:lang w:eastAsia="zh-CN"/>
        </w:rPr>
      </w:pPr>
    </w:p>
    <w:sectPr w:rsidR="00456F22" w:rsidRPr="008C1FE4" w:rsidSect="008C1FE4">
      <w:pgSz w:w="11906" w:h="16838"/>
      <w:pgMar w:top="1440" w:right="141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083B2C"/>
    <w:rsid w:val="000A1661"/>
    <w:rsid w:val="000B7B6D"/>
    <w:rsid w:val="001E437F"/>
    <w:rsid w:val="002547E3"/>
    <w:rsid w:val="00315876"/>
    <w:rsid w:val="00347F8F"/>
    <w:rsid w:val="0035044B"/>
    <w:rsid w:val="00364ABA"/>
    <w:rsid w:val="00456F22"/>
    <w:rsid w:val="004873B3"/>
    <w:rsid w:val="004A1EB7"/>
    <w:rsid w:val="005A5F22"/>
    <w:rsid w:val="006D7BC0"/>
    <w:rsid w:val="0075127D"/>
    <w:rsid w:val="007B64FC"/>
    <w:rsid w:val="007C0E78"/>
    <w:rsid w:val="007E57CF"/>
    <w:rsid w:val="008C1FE4"/>
    <w:rsid w:val="00A247F3"/>
    <w:rsid w:val="00A51C4B"/>
    <w:rsid w:val="00A92CFE"/>
    <w:rsid w:val="00AF6015"/>
    <w:rsid w:val="00B67B94"/>
    <w:rsid w:val="00CD053A"/>
    <w:rsid w:val="00E80FF1"/>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15876"/>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344112">
      <w:bodyDiv w:val="1"/>
      <w:marLeft w:val="0"/>
      <w:marRight w:val="0"/>
      <w:marTop w:val="0"/>
      <w:marBottom w:val="0"/>
      <w:divBdr>
        <w:top w:val="none" w:sz="0" w:space="0" w:color="auto"/>
        <w:left w:val="none" w:sz="0" w:space="0" w:color="auto"/>
        <w:bottom w:val="none" w:sz="0" w:space="0" w:color="auto"/>
        <w:right w:val="none" w:sz="0" w:space="0" w:color="auto"/>
      </w:divBdr>
    </w:div>
    <w:div w:id="313216274">
      <w:bodyDiv w:val="1"/>
      <w:marLeft w:val="0"/>
      <w:marRight w:val="0"/>
      <w:marTop w:val="0"/>
      <w:marBottom w:val="0"/>
      <w:divBdr>
        <w:top w:val="none" w:sz="0" w:space="0" w:color="auto"/>
        <w:left w:val="none" w:sz="0" w:space="0" w:color="auto"/>
        <w:bottom w:val="none" w:sz="0" w:space="0" w:color="auto"/>
        <w:right w:val="none" w:sz="0" w:space="0" w:color="auto"/>
      </w:divBdr>
    </w:div>
    <w:div w:id="549848774">
      <w:bodyDiv w:val="1"/>
      <w:marLeft w:val="0"/>
      <w:marRight w:val="0"/>
      <w:marTop w:val="0"/>
      <w:marBottom w:val="0"/>
      <w:divBdr>
        <w:top w:val="none" w:sz="0" w:space="0" w:color="auto"/>
        <w:left w:val="none" w:sz="0" w:space="0" w:color="auto"/>
        <w:bottom w:val="none" w:sz="0" w:space="0" w:color="auto"/>
        <w:right w:val="none" w:sz="0" w:space="0" w:color="auto"/>
      </w:divBdr>
    </w:div>
    <w:div w:id="1522544691">
      <w:bodyDiv w:val="1"/>
      <w:marLeft w:val="0"/>
      <w:marRight w:val="0"/>
      <w:marTop w:val="0"/>
      <w:marBottom w:val="0"/>
      <w:divBdr>
        <w:top w:val="none" w:sz="0" w:space="0" w:color="auto"/>
        <w:left w:val="none" w:sz="0" w:space="0" w:color="auto"/>
        <w:bottom w:val="none" w:sz="0" w:space="0" w:color="auto"/>
        <w:right w:val="none" w:sz="0" w:space="0" w:color="auto"/>
      </w:divBdr>
    </w:div>
    <w:div w:id="1524125606">
      <w:bodyDiv w:val="1"/>
      <w:marLeft w:val="0"/>
      <w:marRight w:val="0"/>
      <w:marTop w:val="0"/>
      <w:marBottom w:val="0"/>
      <w:divBdr>
        <w:top w:val="none" w:sz="0" w:space="0" w:color="auto"/>
        <w:left w:val="none" w:sz="0" w:space="0" w:color="auto"/>
        <w:bottom w:val="none" w:sz="0" w:space="0" w:color="auto"/>
        <w:right w:val="none" w:sz="0" w:space="0" w:color="auto"/>
      </w:divBdr>
    </w:div>
    <w:div w:id="207284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483</Words>
  <Characters>2614</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Μούτσιου Αικατερίνη</cp:lastModifiedBy>
  <cp:revision>4</cp:revision>
  <dcterms:created xsi:type="dcterms:W3CDTF">2025-02-11T07:28:00Z</dcterms:created>
  <dcterms:modified xsi:type="dcterms:W3CDTF">2025-02-11T07:46:00Z</dcterms:modified>
</cp:coreProperties>
</file>